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C2" w:rsidRDefault="000148C2" w:rsidP="000148C2">
      <w:pPr>
        <w:rPr>
          <w:b/>
          <w:sz w:val="24"/>
          <w:szCs w:val="24"/>
        </w:rPr>
      </w:pPr>
      <w:r w:rsidRPr="000148C2">
        <w:rPr>
          <w:b/>
          <w:sz w:val="24"/>
          <w:szCs w:val="24"/>
        </w:rPr>
        <w:t xml:space="preserve">საქართველოს ზოგადი ადმინისტრაციული კოდექსის 37-ე და მე-40 მუხლების შესაბამისად განცხადებების შესახებ ზოგადი სტატისტიკა </w:t>
      </w:r>
    </w:p>
    <w:p w:rsidR="00987CB6" w:rsidRDefault="000148C2" w:rsidP="000148C2">
      <w:pPr>
        <w:rPr>
          <w:b/>
          <w:sz w:val="24"/>
          <w:szCs w:val="24"/>
        </w:rPr>
      </w:pPr>
      <w:r w:rsidRPr="000148C2">
        <w:rPr>
          <w:b/>
          <w:sz w:val="24"/>
          <w:szCs w:val="24"/>
        </w:rPr>
        <w:t>(2019 წელი</w:t>
      </w:r>
      <w:r>
        <w:rPr>
          <w:b/>
          <w:sz w:val="24"/>
          <w:szCs w:val="24"/>
        </w:rPr>
        <w:t xml:space="preserve"> -II </w:t>
      </w:r>
      <w:r w:rsidRPr="000148C2">
        <w:rPr>
          <w:b/>
          <w:sz w:val="24"/>
          <w:szCs w:val="24"/>
        </w:rPr>
        <w:t>კვარტალი)</w:t>
      </w:r>
    </w:p>
    <w:p w:rsidR="00743AEB" w:rsidRDefault="00743AEB" w:rsidP="000148C2">
      <w:pPr>
        <w:rPr>
          <w:b/>
          <w:sz w:val="24"/>
          <w:szCs w:val="24"/>
        </w:rPr>
      </w:pPr>
    </w:p>
    <w:p w:rsidR="00743AEB" w:rsidRDefault="00743AEB" w:rsidP="000148C2">
      <w:pPr>
        <w:rPr>
          <w:b/>
          <w:sz w:val="24"/>
          <w:szCs w:val="24"/>
        </w:rPr>
      </w:pPr>
    </w:p>
    <w:p w:rsidR="00FF4FF9" w:rsidRDefault="00FF4FF9" w:rsidP="000148C2">
      <w:pPr>
        <w:rPr>
          <w:b/>
          <w:sz w:val="24"/>
          <w:szCs w:val="24"/>
        </w:rPr>
      </w:pPr>
    </w:p>
    <w:p w:rsidR="00FF4FF9" w:rsidRDefault="00FF4FF9" w:rsidP="000148C2">
      <w:pPr>
        <w:rPr>
          <w:b/>
          <w:sz w:val="24"/>
          <w:szCs w:val="24"/>
        </w:rPr>
      </w:pPr>
      <w:bookmarkStart w:id="0" w:name="_GoBack"/>
      <w:bookmarkEnd w:id="0"/>
    </w:p>
    <w:p w:rsidR="00743AEB" w:rsidRDefault="00743AEB" w:rsidP="000148C2">
      <w:pPr>
        <w:rPr>
          <w:b/>
          <w:sz w:val="24"/>
          <w:szCs w:val="24"/>
        </w:rPr>
      </w:pPr>
      <w:r w:rsidRPr="00556B71">
        <w:rPr>
          <w:rFonts w:ascii="AcadNusx" w:hAnsi="AcadNusx"/>
          <w:noProof/>
          <w:sz w:val="24"/>
          <w:szCs w:val="24"/>
          <w:lang w:eastAsia="ka-GE"/>
        </w:rPr>
        <w:drawing>
          <wp:anchor distT="0" distB="0" distL="114300" distR="114300" simplePos="0" relativeHeight="251659264" behindDoc="0" locked="0" layoutInCell="1" allowOverlap="1" wp14:anchorId="5CF3FE33" wp14:editId="176BD54E">
            <wp:simplePos x="0" y="0"/>
            <wp:positionH relativeFrom="margin">
              <wp:align>left</wp:align>
            </wp:positionH>
            <wp:positionV relativeFrom="paragraph">
              <wp:posOffset>353060</wp:posOffset>
            </wp:positionV>
            <wp:extent cx="5486400" cy="3800475"/>
            <wp:effectExtent l="0" t="0" r="0" b="952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3AEB" w:rsidRDefault="00743AEB" w:rsidP="000148C2">
      <w:pPr>
        <w:rPr>
          <w:b/>
          <w:sz w:val="24"/>
          <w:szCs w:val="24"/>
        </w:rPr>
      </w:pPr>
    </w:p>
    <w:p w:rsidR="00743AEB" w:rsidRPr="000148C2" w:rsidRDefault="00743AEB" w:rsidP="000148C2">
      <w:pPr>
        <w:rPr>
          <w:b/>
          <w:sz w:val="24"/>
          <w:szCs w:val="24"/>
        </w:rPr>
      </w:pPr>
    </w:p>
    <w:sectPr w:rsidR="00743AEB" w:rsidRPr="00014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D7"/>
    <w:rsid w:val="000148C2"/>
    <w:rsid w:val="004E0AD7"/>
    <w:rsid w:val="00743AEB"/>
    <w:rsid w:val="00987CB6"/>
    <w:rsid w:val="00CD031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FF91"/>
  <w15:chartTrackingRefBased/>
  <w15:docId w15:val="{875CA051-6A3E-4F41-8A0E-60270107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1805555555555555"/>
          <c:w val="0.70138888888888884"/>
          <c:h val="0.6686507936507936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დოკუმენტბრუნვა 10 038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solidFill>
                <a:schemeClr val="accent1"/>
              </a:solidFill>
              <a:ln>
                <a:solidFill>
                  <a:sysClr val="windowText" lastClr="000000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750-43F6-A7CC-73DBF028A203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750-43F6-A7CC-73DBF028A2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ysClr val="windowText" lastClr="000000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750-43F6-A7CC-73DBF028A203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750-43F6-A7CC-73DBF028A20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ysClr val="windowText" lastClr="000000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750-43F6-A7CC-73DBF028A20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ysClr val="windowText" lastClr="000000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750-43F6-A7CC-73DBF028A20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7DB6CF1A-7181-4789-AA29-96A9D1F78F66}" type="PERCENTAGE">
                      <a:rPr lang="en-US" baseline="0"/>
                      <a:pPr/>
                      <a:t>[PERCENTAGE]</a:t>
                    </a:fld>
                    <a:endParaRPr lang="ka-GE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750-43F6-A7CC-73DBF028A20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917B451-562C-49B2-BBA0-63AE86C6DFBA}" type="PERCENTAGE">
                      <a:rPr lang="en-US" baseline="0"/>
                      <a:pPr/>
                      <a:t>[PERCENTAGE]</a:t>
                    </a:fld>
                    <a:endParaRPr lang="ka-GE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750-43F6-A7CC-73DBF028A203}"/>
                </c:ext>
              </c:extLst>
            </c:dLbl>
            <c:dLbl>
              <c:idx val="2"/>
              <c:layout>
                <c:manualLayout>
                  <c:x val="1.5240230387868182E-2"/>
                  <c:y val="7.122453443319583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BF9D7D18-9835-43D4-9757-FD3006079AA8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750-43F6-A7CC-73DBF028A203}"/>
                </c:ext>
              </c:extLst>
            </c:dLbl>
            <c:dLbl>
              <c:idx val="3"/>
              <c:layout>
                <c:manualLayout>
                  <c:x val="-1.6351159230096238E-2"/>
                  <c:y val="7.8148043994500691E-2"/>
                </c:manualLayout>
              </c:layout>
              <c:tx>
                <c:rich>
                  <a:bodyPr/>
                  <a:lstStyle/>
                  <a:p>
                    <a:fld id="{CF333C03-3049-4F6A-B993-B37A5BEA5473}" type="PERCENTAGE">
                      <a:rPr lang="en-US" baseline="0"/>
                      <a:pPr/>
                      <a:t>[PERCENTAGE]</a:t>
                    </a:fld>
                    <a:endParaRPr lang="ka-GE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750-43F6-A7CC-73DBF028A203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ka-GE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4"/>
                <c:pt idx="0">
                  <c:v>შემოსული კორესპონდენცია - 2 644</c:v>
                </c:pt>
                <c:pt idx="1">
                  <c:v>გასული კორესპონდენცია     -   2 290</c:v>
                </c:pt>
                <c:pt idx="2">
                  <c:v>შიდა                                        -  592</c:v>
                </c:pt>
                <c:pt idx="3">
                  <c:v>საორგანიზაციო ბრძანებები - 125                                   125</c:v>
                </c:pt>
              </c:strCache>
            </c:strRef>
          </c:cat>
          <c:val>
            <c:numRef>
              <c:f>Sheet1!$B$2:$B$7</c:f>
              <c:numCache>
                <c:formatCode>#,##0</c:formatCode>
                <c:ptCount val="6"/>
                <c:pt idx="0">
                  <c:v>2644</c:v>
                </c:pt>
                <c:pt idx="1">
                  <c:v>2290</c:v>
                </c:pt>
                <c:pt idx="2">
                  <c:v>592</c:v>
                </c:pt>
                <c:pt idx="3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750-43F6-A7CC-73DBF028A20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B750-43F6-A7CC-73DBF028A2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B750-43F6-A7CC-73DBF028A2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B750-43F6-A7CC-73DBF028A2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B750-43F6-A7CC-73DBF028A20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6-B750-43F6-A7CC-73DBF028A20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8-B750-43F6-A7CC-73DBF028A203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ka-GE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4"/>
                <c:pt idx="0">
                  <c:v>შემოსული კორესპონდენცია - 2 644</c:v>
                </c:pt>
                <c:pt idx="1">
                  <c:v>გასული კორესპონდენცია     -   2 290</c:v>
                </c:pt>
                <c:pt idx="2">
                  <c:v>შიდა                                        -  592</c:v>
                </c:pt>
                <c:pt idx="3">
                  <c:v>საორგანიზაციო ბრძანებები - 125                                   125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9-B750-43F6-A7CC-73DBF028A20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59027777777777779"/>
          <c:y val="0.27976002999625049"/>
          <c:w val="0.39583333333333331"/>
          <c:h val="0.44047994000749907"/>
        </c:manualLayout>
      </c:layout>
      <c:overlay val="0"/>
      <c:spPr>
        <a:solidFill>
          <a:srgbClr val="4472C4">
            <a:lumMod val="20000"/>
            <a:lumOff val="80000"/>
          </a:srgbClr>
        </a:solidFill>
        <a:ln>
          <a:solidFill>
            <a:sysClr val="windowText" lastClr="000000">
              <a:lumMod val="95000"/>
              <a:lumOff val="5000"/>
            </a:sys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ka-GE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ka-GE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11</cp:revision>
  <dcterms:created xsi:type="dcterms:W3CDTF">2019-07-10T07:58:00Z</dcterms:created>
  <dcterms:modified xsi:type="dcterms:W3CDTF">2019-07-10T08:01:00Z</dcterms:modified>
</cp:coreProperties>
</file>